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2EEC" w14:textId="77777777" w:rsidR="0017281C" w:rsidRPr="00BC361F" w:rsidRDefault="0017281C" w:rsidP="00395C6E">
      <w:pPr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  <w:r w:rsidRPr="00BC361F">
        <w:rPr>
          <w:rFonts w:ascii="Arial" w:hAnsi="Arial" w:cs="Arial"/>
          <w:b/>
          <w:lang w:val="el-GR"/>
        </w:rPr>
        <w:t>ΓΕΝΙΚΟ ΠΕΡΙΓΡΑΜΜΑ ΤΗΣ ΚΟΙΝΗΣ ΠΡΟΤΑΣΗΣ</w:t>
      </w:r>
    </w:p>
    <w:p w14:paraId="7546F7C3" w14:textId="77777777" w:rsidR="0017281C" w:rsidRPr="00BC361F" w:rsidRDefault="0017281C" w:rsidP="00395C6E">
      <w:pPr>
        <w:jc w:val="center"/>
        <w:rPr>
          <w:rFonts w:ascii="Arial" w:hAnsi="Arial" w:cs="Arial"/>
          <w:b/>
          <w:lang w:val="el-GR"/>
        </w:rPr>
      </w:pPr>
      <w:r w:rsidRPr="00BC361F">
        <w:rPr>
          <w:rFonts w:ascii="Arial" w:hAnsi="Arial" w:cs="Arial"/>
          <w:b/>
          <w:lang w:val="el-GR"/>
        </w:rPr>
        <w:t>ΓΙΑ ΤΙΣ ΕΞΕΤΑΣΕΙΣ ΣΤΟ ΤΕΛΟΣ ΤΩΝ ΤΕΤΡΑΜΗΝΩΝ</w:t>
      </w:r>
    </w:p>
    <w:p w14:paraId="3E9BE07C" w14:textId="77777777" w:rsidR="00E249B8" w:rsidRPr="00BC361F" w:rsidRDefault="0017281C" w:rsidP="00395C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Τροποποίηση των υφιστάμενων Κ</w:t>
      </w:r>
      <w:r w:rsidR="00E249B8" w:rsidRPr="00BC361F">
        <w:rPr>
          <w:rFonts w:ascii="Arial" w:hAnsi="Arial" w:cs="Arial"/>
          <w:lang w:val="el-GR"/>
        </w:rPr>
        <w:t>ανονισμών</w:t>
      </w:r>
      <w:r w:rsidRPr="00BC361F">
        <w:rPr>
          <w:rFonts w:ascii="Arial" w:hAnsi="Arial" w:cs="Arial"/>
          <w:lang w:val="el-GR"/>
        </w:rPr>
        <w:t xml:space="preserve"> Λειτουργίας των Σχολικών Μονάδων</w:t>
      </w:r>
      <w:r w:rsidR="00377111" w:rsidRPr="00BC361F">
        <w:rPr>
          <w:rFonts w:ascii="Arial" w:hAnsi="Arial" w:cs="Arial"/>
          <w:lang w:val="el-GR"/>
        </w:rPr>
        <w:t xml:space="preserve"> (ΚΛΣΜ)</w:t>
      </w:r>
      <w:r w:rsidRPr="00BC361F">
        <w:rPr>
          <w:rFonts w:ascii="Arial" w:hAnsi="Arial" w:cs="Arial"/>
          <w:lang w:val="el-GR"/>
        </w:rPr>
        <w:t xml:space="preserve">, στη βάση των όσων παρατίθενται πιο κάτω. </w:t>
      </w:r>
    </w:p>
    <w:p w14:paraId="7CFFDD92" w14:textId="77777777" w:rsidR="00E249B8" w:rsidRPr="00BC361F" w:rsidRDefault="0017281C" w:rsidP="00395C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 xml:space="preserve">Αφαίρεση της πρόνοιας </w:t>
      </w:r>
      <w:r w:rsidR="00E249B8" w:rsidRPr="00BC361F">
        <w:rPr>
          <w:rFonts w:ascii="Arial" w:hAnsi="Arial" w:cs="Arial"/>
          <w:lang w:val="el-GR"/>
        </w:rPr>
        <w:t>για ένα</w:t>
      </w:r>
      <w:r w:rsidR="00986899" w:rsidRPr="00BC361F">
        <w:rPr>
          <w:rFonts w:ascii="Arial" w:hAnsi="Arial" w:cs="Arial"/>
          <w:lang w:val="el-GR"/>
        </w:rPr>
        <w:t>,</w:t>
      </w:r>
      <w:r w:rsidR="00E249B8" w:rsidRPr="00BC361F">
        <w:rPr>
          <w:rFonts w:ascii="Arial" w:hAnsi="Arial" w:cs="Arial"/>
          <w:lang w:val="el-GR"/>
        </w:rPr>
        <w:t xml:space="preserve"> </w:t>
      </w:r>
      <w:r w:rsidR="00E249B8" w:rsidRPr="00BC361F">
        <w:rPr>
          <w:rFonts w:ascii="Arial" w:hAnsi="Arial" w:cs="Arial"/>
          <w:b/>
          <w:u w:val="single"/>
          <w:lang w:val="el-GR"/>
        </w:rPr>
        <w:t>τουλάχιστον</w:t>
      </w:r>
      <w:r w:rsidR="00986899" w:rsidRPr="00BC361F">
        <w:rPr>
          <w:rFonts w:ascii="Arial" w:hAnsi="Arial" w:cs="Arial"/>
          <w:lang w:val="el-GR"/>
        </w:rPr>
        <w:t>,</w:t>
      </w:r>
      <w:r w:rsidR="00E249B8" w:rsidRPr="00BC361F">
        <w:rPr>
          <w:rFonts w:ascii="Arial" w:hAnsi="Arial" w:cs="Arial"/>
          <w:lang w:val="el-GR"/>
        </w:rPr>
        <w:t xml:space="preserve"> διαγώνισμα σε κάθε γνωστικό αντικείμενο</w:t>
      </w:r>
      <w:r w:rsidR="00377111" w:rsidRPr="00BC361F">
        <w:rPr>
          <w:rFonts w:ascii="Arial" w:hAnsi="Arial" w:cs="Arial"/>
          <w:lang w:val="el-GR"/>
        </w:rPr>
        <w:t xml:space="preserve"> από τους υφιστάμενους ΚΛΣΜ</w:t>
      </w:r>
      <w:r w:rsidRPr="00BC361F">
        <w:rPr>
          <w:rFonts w:ascii="Arial" w:hAnsi="Arial" w:cs="Arial"/>
          <w:lang w:val="el-GR"/>
        </w:rPr>
        <w:t>.</w:t>
      </w:r>
    </w:p>
    <w:p w14:paraId="7EE412C9" w14:textId="77777777" w:rsidR="00E249B8" w:rsidRPr="00BC361F" w:rsidRDefault="0017281C" w:rsidP="00395C6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 xml:space="preserve">Εφαρμογή της εν λόγω πρότασης ΜΟΝΟ στην Α΄ Λυκείου, </w:t>
      </w:r>
      <w:r w:rsidR="002808B0" w:rsidRPr="00BC361F">
        <w:rPr>
          <w:rFonts w:ascii="Arial" w:hAnsi="Arial" w:cs="Arial"/>
          <w:lang w:val="el-GR"/>
        </w:rPr>
        <w:t>τ</w:t>
      </w:r>
      <w:r w:rsidR="00E249B8" w:rsidRPr="00BC361F">
        <w:rPr>
          <w:rFonts w:ascii="Arial" w:hAnsi="Arial" w:cs="Arial"/>
          <w:lang w:val="el-GR"/>
        </w:rPr>
        <w:t>η</w:t>
      </w:r>
      <w:r w:rsidR="002808B0" w:rsidRPr="00BC361F">
        <w:rPr>
          <w:rFonts w:ascii="Arial" w:hAnsi="Arial" w:cs="Arial"/>
          <w:lang w:val="el-GR"/>
        </w:rPr>
        <w:t xml:space="preserve"> </w:t>
      </w:r>
      <w:r w:rsidR="00E249B8" w:rsidRPr="00BC361F">
        <w:rPr>
          <w:rFonts w:ascii="Arial" w:hAnsi="Arial" w:cs="Arial"/>
          <w:lang w:val="el-GR"/>
        </w:rPr>
        <w:t>σχολική χρονιά</w:t>
      </w:r>
      <w:r w:rsidR="002808B0" w:rsidRPr="00BC361F">
        <w:rPr>
          <w:rFonts w:ascii="Arial" w:hAnsi="Arial" w:cs="Arial"/>
          <w:lang w:val="el-GR"/>
        </w:rPr>
        <w:t xml:space="preserve"> 2019-2020</w:t>
      </w:r>
      <w:r w:rsidRPr="00BC361F">
        <w:rPr>
          <w:rFonts w:ascii="Arial" w:hAnsi="Arial" w:cs="Arial"/>
          <w:lang w:val="el-GR"/>
        </w:rPr>
        <w:t>.</w:t>
      </w:r>
      <w:r w:rsidR="00986899" w:rsidRPr="00BC361F">
        <w:rPr>
          <w:rFonts w:ascii="Arial" w:hAnsi="Arial" w:cs="Arial"/>
          <w:lang w:val="el-GR"/>
        </w:rPr>
        <w:t xml:space="preserve">  Ακολουθεί αξιολόγηση του εγχειρήματος και σταδιακή επέκταση.</w:t>
      </w:r>
    </w:p>
    <w:p w14:paraId="0EB1A6D4" w14:textId="77777777" w:rsidR="00E249B8" w:rsidRPr="00BC361F" w:rsidRDefault="00E249B8" w:rsidP="00395C6E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Γραπτή Αξιολόγηση εξεταζόμενων και μη μαθημάτων:</w:t>
      </w:r>
    </w:p>
    <w:p w14:paraId="5059C597" w14:textId="77777777" w:rsidR="00E249B8" w:rsidRPr="00BC361F" w:rsidRDefault="00E249B8" w:rsidP="00395C6E">
      <w:pPr>
        <w:jc w:val="center"/>
        <w:rPr>
          <w:rFonts w:ascii="Arial" w:hAnsi="Arial" w:cs="Arial"/>
          <w:b/>
          <w:u w:val="single"/>
          <w:lang w:val="el-GR"/>
        </w:rPr>
      </w:pPr>
      <w:r w:rsidRPr="00BC361F">
        <w:rPr>
          <w:rFonts w:ascii="Arial" w:hAnsi="Arial" w:cs="Arial"/>
          <w:b/>
          <w:u w:val="single"/>
          <w:lang w:val="el-GR"/>
        </w:rPr>
        <w:t>Εξεταζόμενα μαθήματα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E249B8" w:rsidRPr="00BC361F" w14:paraId="67B1F523" w14:textId="77777777" w:rsidTr="00DD5B3A">
        <w:trPr>
          <w:jc w:val="center"/>
        </w:trPr>
        <w:tc>
          <w:tcPr>
            <w:tcW w:w="4261" w:type="dxa"/>
          </w:tcPr>
          <w:p w14:paraId="1EFE2300" w14:textId="77777777" w:rsidR="00395C6E" w:rsidRPr="00BC361F" w:rsidRDefault="00E249B8" w:rsidP="00395C6E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Γραπτή αξιολόγηση</w:t>
            </w:r>
          </w:p>
          <w:p w14:paraId="1691751E" w14:textId="77777777" w:rsidR="00E249B8" w:rsidRPr="00BC361F" w:rsidRDefault="00E249B8" w:rsidP="00395C6E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(40%)</w:t>
            </w:r>
          </w:p>
        </w:tc>
        <w:tc>
          <w:tcPr>
            <w:tcW w:w="4261" w:type="dxa"/>
          </w:tcPr>
          <w:p w14:paraId="6546C9A0" w14:textId="77777777" w:rsidR="00E249B8" w:rsidRPr="00BC361F" w:rsidRDefault="00E249B8" w:rsidP="00395C6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Προφορική ή/και άλλη αξιολόγηση (60%)</w:t>
            </w:r>
          </w:p>
        </w:tc>
      </w:tr>
      <w:tr w:rsidR="00E249B8" w:rsidRPr="00BC361F" w14:paraId="6CF155D0" w14:textId="77777777" w:rsidTr="00DD5B3A">
        <w:trPr>
          <w:jc w:val="center"/>
        </w:trPr>
        <w:tc>
          <w:tcPr>
            <w:tcW w:w="4261" w:type="dxa"/>
          </w:tcPr>
          <w:p w14:paraId="31161CC7" w14:textId="77777777" w:rsidR="0017281C" w:rsidRPr="00BC361F" w:rsidRDefault="00E249B8" w:rsidP="0017722D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Ένα κοινό διαγώνισμα 90 λεπτών</w:t>
            </w:r>
            <w:r w:rsidR="00986899" w:rsidRPr="00BC361F">
              <w:rPr>
                <w:rFonts w:ascii="Arial" w:hAnsi="Arial" w:cs="Arial"/>
                <w:lang w:val="el-GR"/>
              </w:rPr>
              <w:t>,</w:t>
            </w:r>
            <w:r w:rsidRPr="00BC361F">
              <w:rPr>
                <w:rFonts w:ascii="Arial" w:hAnsi="Arial" w:cs="Arial"/>
                <w:lang w:val="el-GR"/>
              </w:rPr>
              <w:t xml:space="preserve"> ανά τετράμηνο</w:t>
            </w:r>
            <w:r w:rsidR="002808B0" w:rsidRPr="00BC361F">
              <w:rPr>
                <w:rFonts w:ascii="Arial" w:hAnsi="Arial" w:cs="Arial"/>
                <w:lang w:val="el-GR"/>
              </w:rPr>
              <w:t>.</w:t>
            </w:r>
            <w:r w:rsidRPr="00BC361F">
              <w:rPr>
                <w:rFonts w:ascii="Arial" w:hAnsi="Arial" w:cs="Arial"/>
                <w:lang w:val="el-GR"/>
              </w:rPr>
              <w:t xml:space="preserve"> Διευκρινίζεται ότι η </w:t>
            </w:r>
            <w:r w:rsidR="00326AD8" w:rsidRPr="00BC361F">
              <w:rPr>
                <w:rFonts w:ascii="Arial" w:hAnsi="Arial" w:cs="Arial"/>
                <w:lang w:val="el-GR"/>
              </w:rPr>
              <w:t xml:space="preserve">όποια </w:t>
            </w:r>
            <w:r w:rsidRPr="00BC361F">
              <w:rPr>
                <w:rFonts w:ascii="Arial" w:hAnsi="Arial" w:cs="Arial"/>
                <w:lang w:val="el-GR"/>
              </w:rPr>
              <w:t xml:space="preserve">ρύθμιση </w:t>
            </w:r>
            <w:r w:rsidR="00326AD8" w:rsidRPr="00BC361F">
              <w:rPr>
                <w:rFonts w:ascii="Arial" w:hAnsi="Arial" w:cs="Arial"/>
                <w:lang w:val="el-GR"/>
              </w:rPr>
              <w:t xml:space="preserve">εφαρμοστεί </w:t>
            </w:r>
            <w:r w:rsidRPr="00BC361F">
              <w:rPr>
                <w:rFonts w:ascii="Arial" w:hAnsi="Arial" w:cs="Arial"/>
                <w:lang w:val="el-GR"/>
              </w:rPr>
              <w:t>θα είναι για μία χρονιά και θα αξιολογηθεί από το ΚΕΕΑ. Στη συνέχεια</w:t>
            </w:r>
            <w:r w:rsidR="0017281C" w:rsidRPr="00BC361F">
              <w:rPr>
                <w:rFonts w:ascii="Arial" w:hAnsi="Arial" w:cs="Arial"/>
                <w:lang w:val="el-GR"/>
              </w:rPr>
              <w:t>,</w:t>
            </w:r>
            <w:r w:rsidRPr="00BC361F">
              <w:rPr>
                <w:rFonts w:ascii="Arial" w:hAnsi="Arial" w:cs="Arial"/>
                <w:lang w:val="el-GR"/>
              </w:rPr>
              <w:t xml:space="preserve"> θα υιοθετηθεί σε μόνιμη βάση ό,τι προκύψει από την αξιολόγηση του ΚΕΕΑ. </w:t>
            </w:r>
          </w:p>
          <w:p w14:paraId="385AC8B3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Η εξεταστέα ύλη θα ορίζεται από </w:t>
            </w:r>
            <w:r w:rsidR="0017281C" w:rsidRPr="00BC361F">
              <w:rPr>
                <w:rFonts w:ascii="Arial" w:hAnsi="Arial" w:cs="Arial"/>
                <w:lang w:val="el-GR"/>
              </w:rPr>
              <w:t>τους/-τις</w:t>
            </w:r>
            <w:r w:rsidRPr="00BC361F">
              <w:rPr>
                <w:rFonts w:ascii="Arial" w:hAnsi="Arial" w:cs="Arial"/>
                <w:lang w:val="el-GR"/>
              </w:rPr>
              <w:t xml:space="preserve"> διδάσκοντες</w:t>
            </w:r>
            <w:r w:rsidR="0017281C" w:rsidRPr="00BC361F">
              <w:rPr>
                <w:rFonts w:ascii="Arial" w:hAnsi="Arial" w:cs="Arial"/>
                <w:lang w:val="el-GR"/>
              </w:rPr>
              <w:t>/-</w:t>
            </w:r>
            <w:proofErr w:type="spellStart"/>
            <w:r w:rsidR="0017281C" w:rsidRPr="00BC361F">
              <w:rPr>
                <w:rFonts w:ascii="Arial" w:hAnsi="Arial" w:cs="Arial"/>
                <w:lang w:val="el-GR"/>
              </w:rPr>
              <w:t>ουσες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το</w:t>
            </w:r>
            <w:r w:rsidR="0017281C" w:rsidRPr="00BC361F">
              <w:rPr>
                <w:rFonts w:ascii="Arial" w:hAnsi="Arial" w:cs="Arial"/>
                <w:lang w:val="el-GR"/>
              </w:rPr>
              <w:t>υ</w:t>
            </w:r>
            <w:r w:rsidRPr="00BC361F">
              <w:rPr>
                <w:rFonts w:ascii="Arial" w:hAnsi="Arial" w:cs="Arial"/>
                <w:lang w:val="el-GR"/>
              </w:rPr>
              <w:t xml:space="preserve"> </w:t>
            </w:r>
            <w:r w:rsidR="0017281C" w:rsidRPr="00BC361F">
              <w:rPr>
                <w:rFonts w:ascii="Arial" w:hAnsi="Arial" w:cs="Arial"/>
                <w:lang w:val="el-GR"/>
              </w:rPr>
              <w:t xml:space="preserve">εκάστοτε εξεταζόμενου </w:t>
            </w:r>
            <w:r w:rsidRPr="00BC361F">
              <w:rPr>
                <w:rFonts w:ascii="Arial" w:hAnsi="Arial" w:cs="Arial"/>
                <w:lang w:val="el-GR"/>
              </w:rPr>
              <w:t>γνωστικ</w:t>
            </w:r>
            <w:r w:rsidR="0017281C" w:rsidRPr="00BC361F">
              <w:rPr>
                <w:rFonts w:ascii="Arial" w:hAnsi="Arial" w:cs="Arial"/>
                <w:lang w:val="el-GR"/>
              </w:rPr>
              <w:t>ού</w:t>
            </w:r>
            <w:r w:rsidRPr="00BC361F">
              <w:rPr>
                <w:rFonts w:ascii="Arial" w:hAnsi="Arial" w:cs="Arial"/>
                <w:lang w:val="el-GR"/>
              </w:rPr>
              <w:t xml:space="preserve"> αντικ</w:t>
            </w:r>
            <w:r w:rsidR="0017281C" w:rsidRPr="00BC361F">
              <w:rPr>
                <w:rFonts w:ascii="Arial" w:hAnsi="Arial" w:cs="Arial"/>
                <w:lang w:val="el-GR"/>
              </w:rPr>
              <w:t xml:space="preserve">ειμένου </w:t>
            </w:r>
            <w:r w:rsidR="00986899" w:rsidRPr="00BC361F">
              <w:rPr>
                <w:rFonts w:ascii="Arial" w:hAnsi="Arial" w:cs="Arial"/>
                <w:lang w:val="el-GR"/>
              </w:rPr>
              <w:t xml:space="preserve">(στην περίπτωση που το διαγώνισμα θα συντάσσεται σε σχολική βάση) </w:t>
            </w:r>
            <w:r w:rsidRPr="00BC361F">
              <w:rPr>
                <w:rFonts w:ascii="Arial" w:hAnsi="Arial" w:cs="Arial"/>
                <w:lang w:val="el-GR"/>
              </w:rPr>
              <w:t xml:space="preserve">και θα ανακοινώνεται έγκαιρα από </w:t>
            </w:r>
            <w:r w:rsidR="0017281C" w:rsidRPr="00BC361F">
              <w:rPr>
                <w:rFonts w:ascii="Arial" w:hAnsi="Arial" w:cs="Arial"/>
                <w:lang w:val="el-GR"/>
              </w:rPr>
              <w:t>τις Διευθύνσεις των Σχολείων</w:t>
            </w:r>
            <w:r w:rsidR="00986899" w:rsidRPr="00BC361F">
              <w:rPr>
                <w:rFonts w:ascii="Arial" w:hAnsi="Arial" w:cs="Arial"/>
                <w:lang w:val="el-GR"/>
              </w:rPr>
              <w:t xml:space="preserve"> στους/στις μαθητές/-</w:t>
            </w:r>
            <w:proofErr w:type="spellStart"/>
            <w:r w:rsidR="00986899" w:rsidRPr="00BC361F">
              <w:rPr>
                <w:rFonts w:ascii="Arial" w:hAnsi="Arial" w:cs="Arial"/>
                <w:lang w:val="el-GR"/>
              </w:rPr>
              <w:t>τριες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, όπως και ο </w:t>
            </w:r>
            <w:r w:rsidR="0017281C" w:rsidRPr="00BC361F">
              <w:rPr>
                <w:rFonts w:ascii="Arial" w:hAnsi="Arial" w:cs="Arial"/>
                <w:lang w:val="el-GR"/>
              </w:rPr>
              <w:t xml:space="preserve">ημερολογιακός </w:t>
            </w:r>
            <w:r w:rsidRPr="00BC361F">
              <w:rPr>
                <w:rFonts w:ascii="Arial" w:hAnsi="Arial" w:cs="Arial"/>
                <w:lang w:val="el-GR"/>
              </w:rPr>
              <w:t xml:space="preserve">προγραμματισμός για τη διεξαγωγή του διαγωνίσματος. Η βαρύτητα </w:t>
            </w:r>
            <w:r w:rsidR="0017281C" w:rsidRPr="00BC361F">
              <w:rPr>
                <w:rFonts w:ascii="Arial" w:hAnsi="Arial" w:cs="Arial"/>
                <w:lang w:val="el-GR"/>
              </w:rPr>
              <w:t xml:space="preserve">του εν λόγω </w:t>
            </w:r>
            <w:r w:rsidRPr="00BC361F">
              <w:rPr>
                <w:rFonts w:ascii="Arial" w:hAnsi="Arial" w:cs="Arial"/>
                <w:lang w:val="el-GR"/>
              </w:rPr>
              <w:t xml:space="preserve">του διαγωνίσματος </w:t>
            </w:r>
            <w:r w:rsidR="00986899" w:rsidRPr="00BC361F">
              <w:rPr>
                <w:rFonts w:ascii="Arial" w:hAnsi="Arial" w:cs="Arial"/>
                <w:lang w:val="el-GR"/>
              </w:rPr>
              <w:t xml:space="preserve">ορίζεται στο </w:t>
            </w:r>
            <w:r w:rsidRPr="00BC361F">
              <w:rPr>
                <w:rFonts w:ascii="Arial" w:hAnsi="Arial" w:cs="Arial"/>
                <w:lang w:val="el-GR"/>
              </w:rPr>
              <w:t>25%.</w:t>
            </w:r>
          </w:p>
          <w:p w14:paraId="0DD23CAB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556E2417" w14:textId="77777777" w:rsidR="00E249B8" w:rsidRPr="00BC361F" w:rsidRDefault="00E249B8" w:rsidP="004540C7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u w:val="single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Ένα (1) προειδοποιημένο δια</w:t>
            </w:r>
            <w:r w:rsidR="000A39B0" w:rsidRPr="00BC361F">
              <w:rPr>
                <w:rFonts w:ascii="Arial" w:hAnsi="Arial" w:cs="Arial"/>
                <w:lang w:val="el-GR"/>
              </w:rPr>
              <w:t>γώνισμα 45 λεπτών ανά τετράμηνο</w:t>
            </w:r>
            <w:r w:rsidR="00986899" w:rsidRPr="00BC361F">
              <w:rPr>
                <w:rFonts w:ascii="Arial" w:hAnsi="Arial" w:cs="Arial"/>
                <w:lang w:val="el-GR"/>
              </w:rPr>
              <w:t>,</w:t>
            </w:r>
            <w:r w:rsidR="000A39B0" w:rsidRPr="00BC361F">
              <w:rPr>
                <w:rFonts w:ascii="Arial" w:hAnsi="Arial" w:cs="Arial"/>
                <w:lang w:val="el-GR"/>
              </w:rPr>
              <w:t xml:space="preserve"> με βαρύτητα </w:t>
            </w:r>
            <w:r w:rsidRPr="00BC361F">
              <w:rPr>
                <w:rFonts w:ascii="Arial" w:hAnsi="Arial" w:cs="Arial"/>
                <w:lang w:val="el-GR"/>
              </w:rPr>
              <w:t>1</w:t>
            </w:r>
            <w:r w:rsidR="000A39B0" w:rsidRPr="00BC361F">
              <w:rPr>
                <w:rFonts w:ascii="Arial" w:hAnsi="Arial" w:cs="Arial"/>
                <w:lang w:val="el-GR"/>
              </w:rPr>
              <w:t>5%</w:t>
            </w:r>
            <w:r w:rsidR="0017281C" w:rsidRPr="00BC361F">
              <w:rPr>
                <w:rFonts w:ascii="Arial" w:hAnsi="Arial" w:cs="Arial"/>
                <w:lang w:val="el-GR"/>
              </w:rPr>
              <w:t>. Πραγματοποιείται</w:t>
            </w:r>
            <w:r w:rsidR="00986899" w:rsidRPr="00BC361F">
              <w:rPr>
                <w:rFonts w:ascii="Arial" w:hAnsi="Arial" w:cs="Arial"/>
                <w:lang w:val="el-GR"/>
              </w:rPr>
              <w:t xml:space="preserve"> χρονικά μέχρι τα τέλη Οκτωβρίο</w:t>
            </w:r>
            <w:r w:rsidR="004540C7" w:rsidRPr="00BC361F">
              <w:rPr>
                <w:rFonts w:ascii="Arial" w:hAnsi="Arial" w:cs="Arial"/>
                <w:lang w:val="el-GR"/>
              </w:rPr>
              <w:t>υ</w:t>
            </w:r>
            <w:r w:rsidR="00986899" w:rsidRPr="00BC361F">
              <w:rPr>
                <w:rFonts w:ascii="Arial" w:hAnsi="Arial" w:cs="Arial"/>
                <w:lang w:val="el-GR"/>
              </w:rPr>
              <w:t>, αρχές Νοεμβρίου</w:t>
            </w:r>
            <w:r w:rsidR="0017281C" w:rsidRPr="00BC361F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4261" w:type="dxa"/>
          </w:tcPr>
          <w:p w14:paraId="7D6B7A7E" w14:textId="77777777" w:rsidR="00E249B8" w:rsidRPr="00BC361F" w:rsidRDefault="00E249B8" w:rsidP="00395C6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Μέχρι δύο μικρές (20λεπτες) γραπτές 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βαθμολογητέες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ασκήσεις στην τάξη βάσει των Δεικτών Επιτυχίας/Επάρκειας (προειδοποιημένες).</w:t>
            </w:r>
          </w:p>
          <w:p w14:paraId="1F472272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07012DD5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ή</w:t>
            </w:r>
          </w:p>
          <w:p w14:paraId="5348039E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Μέχρι δύο </w:t>
            </w:r>
            <w:r w:rsidRPr="00BC361F">
              <w:rPr>
                <w:rFonts w:ascii="Arial" w:hAnsi="Arial" w:cs="Arial"/>
              </w:rPr>
              <w:t>quiz</w:t>
            </w:r>
            <w:r w:rsidRPr="00BC361F">
              <w:rPr>
                <w:rFonts w:ascii="Arial" w:hAnsi="Arial" w:cs="Arial"/>
                <w:lang w:val="el-GR"/>
              </w:rPr>
              <w:t xml:space="preserve"> ή παρόμοιων τύπων ασκήσεων.</w:t>
            </w:r>
          </w:p>
          <w:p w14:paraId="0CBFA9EE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2FE6C7A9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ή</w:t>
            </w:r>
          </w:p>
          <w:p w14:paraId="43865AB6" w14:textId="77777777" w:rsidR="00E249B8" w:rsidRPr="00BC361F" w:rsidRDefault="002808B0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Μέχρι ένα </w:t>
            </w:r>
            <w:r w:rsidR="00E249B8" w:rsidRPr="00BC361F">
              <w:rPr>
                <w:rFonts w:ascii="Arial" w:hAnsi="Arial" w:cs="Arial"/>
              </w:rPr>
              <w:t>project</w:t>
            </w:r>
            <w:r w:rsidRPr="00BC361F">
              <w:rPr>
                <w:rFonts w:ascii="Arial" w:hAnsi="Arial" w:cs="Arial"/>
                <w:lang w:val="el-GR"/>
              </w:rPr>
              <w:t>, από τα δύο συνολικά που θα μπορούσαν να ανατεθούν σε ένα/μια μαθητή/-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τρια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σε ένα τετράμηνο</w:t>
            </w:r>
            <w:r w:rsidR="00E249B8" w:rsidRPr="00BC361F">
              <w:rPr>
                <w:rFonts w:ascii="Arial" w:hAnsi="Arial" w:cs="Arial"/>
                <w:lang w:val="el-GR"/>
              </w:rPr>
              <w:t>.</w:t>
            </w:r>
          </w:p>
          <w:p w14:paraId="1452DA6D" w14:textId="77777777" w:rsidR="002808B0" w:rsidRPr="00BC361F" w:rsidRDefault="002808B0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49924710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ή</w:t>
            </w:r>
          </w:p>
          <w:p w14:paraId="0BBD04E3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Άλλη μορφή αξιολόγησης</w:t>
            </w:r>
            <w:r w:rsidR="000A39B0" w:rsidRPr="00BC361F">
              <w:rPr>
                <w:rFonts w:ascii="Arial" w:hAnsi="Arial" w:cs="Arial"/>
                <w:lang w:val="el-GR"/>
              </w:rPr>
              <w:t>.</w:t>
            </w:r>
          </w:p>
          <w:p w14:paraId="6D71244C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288A5B6A" w14:textId="77777777" w:rsidR="00E249B8" w:rsidRPr="00BC361F" w:rsidRDefault="00E249B8" w:rsidP="00395C6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Συμμετοχή του/της μαθητή/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τριας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στις καθημερινές εργασίες του μαθήματος στην τάξη ή στο εργαστήριο ή/και σε δραστηριότητες εκτός της αίθουσας διδασκαλίας.</w:t>
            </w:r>
          </w:p>
          <w:p w14:paraId="5EE1C93F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16F26AA1" w14:textId="77777777" w:rsidR="00E249B8" w:rsidRPr="00BC361F" w:rsidRDefault="00E249B8" w:rsidP="00395C6E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Κατ’ 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οίκον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εργασίες.</w:t>
            </w:r>
          </w:p>
        </w:tc>
      </w:tr>
      <w:tr w:rsidR="00E249B8" w:rsidRPr="00BC361F" w14:paraId="17D92BC3" w14:textId="77777777" w:rsidTr="00DD5B3A">
        <w:trPr>
          <w:jc w:val="center"/>
        </w:trPr>
        <w:tc>
          <w:tcPr>
            <w:tcW w:w="8522" w:type="dxa"/>
            <w:gridSpan w:val="2"/>
          </w:tcPr>
          <w:p w14:paraId="0175F6AA" w14:textId="77777777" w:rsidR="00395C6E" w:rsidRPr="00BC361F" w:rsidRDefault="00395C6E" w:rsidP="00395C6E">
            <w:pPr>
              <w:jc w:val="both"/>
              <w:rPr>
                <w:rFonts w:ascii="Arial" w:hAnsi="Arial" w:cs="Arial"/>
                <w:b/>
                <w:u w:val="single"/>
                <w:lang w:val="el-GR"/>
              </w:rPr>
            </w:pPr>
          </w:p>
          <w:p w14:paraId="25849307" w14:textId="77777777" w:rsidR="00E249B8" w:rsidRPr="00BC361F" w:rsidRDefault="000A39B0" w:rsidP="00326AD8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C361F">
              <w:rPr>
                <w:rFonts w:ascii="Arial" w:hAnsi="Arial" w:cs="Arial"/>
                <w:b/>
                <w:u w:val="single"/>
                <w:lang w:val="el-GR"/>
              </w:rPr>
              <w:t>Πρόσθετες ρ</w:t>
            </w:r>
            <w:r w:rsidR="00E249B8" w:rsidRPr="00BC361F">
              <w:rPr>
                <w:rFonts w:ascii="Arial" w:hAnsi="Arial" w:cs="Arial"/>
                <w:b/>
                <w:u w:val="single"/>
                <w:lang w:val="el-GR"/>
              </w:rPr>
              <w:t xml:space="preserve">υθμίσεις για τα </w:t>
            </w:r>
            <w:r w:rsidRPr="00BC361F">
              <w:rPr>
                <w:rFonts w:ascii="Arial" w:hAnsi="Arial" w:cs="Arial"/>
                <w:b/>
                <w:u w:val="single"/>
                <w:lang w:val="el-GR"/>
              </w:rPr>
              <w:t>κ</w:t>
            </w:r>
            <w:r w:rsidR="00E249B8" w:rsidRPr="00BC361F">
              <w:rPr>
                <w:rFonts w:ascii="Arial" w:hAnsi="Arial" w:cs="Arial"/>
                <w:b/>
                <w:u w:val="single"/>
                <w:lang w:val="el-GR"/>
              </w:rPr>
              <w:t>οινά Διαγωνίσματα</w:t>
            </w:r>
          </w:p>
          <w:p w14:paraId="00103B1E" w14:textId="77777777" w:rsidR="00E249B8" w:rsidRPr="00BC361F" w:rsidRDefault="00964A1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Να εξεταστ</w:t>
            </w:r>
            <w:r w:rsidR="004540C7" w:rsidRPr="00BC361F">
              <w:rPr>
                <w:rFonts w:ascii="Arial" w:hAnsi="Arial" w:cs="Arial"/>
                <w:lang w:val="el-GR"/>
              </w:rPr>
              <w:t>εί το ενδεχόμενο</w:t>
            </w:r>
            <w:r w:rsidRPr="00BC361F">
              <w:rPr>
                <w:rFonts w:ascii="Arial" w:hAnsi="Arial" w:cs="Arial"/>
                <w:lang w:val="el-GR"/>
              </w:rPr>
              <w:t xml:space="preserve"> η </w:t>
            </w:r>
            <w:r w:rsidR="000A39B0" w:rsidRPr="00BC361F">
              <w:rPr>
                <w:rFonts w:ascii="Arial" w:hAnsi="Arial" w:cs="Arial"/>
                <w:lang w:val="el-GR"/>
              </w:rPr>
              <w:t xml:space="preserve">σύνταξη </w:t>
            </w:r>
            <w:r w:rsidR="00E249B8" w:rsidRPr="00BC361F">
              <w:rPr>
                <w:rFonts w:ascii="Arial" w:hAnsi="Arial" w:cs="Arial"/>
                <w:lang w:val="el-GR"/>
              </w:rPr>
              <w:t xml:space="preserve">των κοινών διαγωνισμάτων </w:t>
            </w:r>
            <w:r w:rsidRPr="00BC361F">
              <w:rPr>
                <w:rFonts w:ascii="Arial" w:hAnsi="Arial" w:cs="Arial"/>
                <w:lang w:val="el-GR"/>
              </w:rPr>
              <w:t>ν</w:t>
            </w:r>
            <w:r w:rsidR="00E249B8" w:rsidRPr="00BC361F">
              <w:rPr>
                <w:rFonts w:ascii="Arial" w:hAnsi="Arial" w:cs="Arial"/>
                <w:lang w:val="el-GR"/>
              </w:rPr>
              <w:t>α γίν</w:t>
            </w:r>
            <w:r w:rsidRPr="00BC361F">
              <w:rPr>
                <w:rFonts w:ascii="Arial" w:hAnsi="Arial" w:cs="Arial"/>
                <w:lang w:val="el-GR"/>
              </w:rPr>
              <w:t xml:space="preserve">εται σε κεντρικό επίπεδο ή σε επίπεδο σχολικών μονάδων </w:t>
            </w:r>
            <w:r w:rsidR="00E249B8" w:rsidRPr="00BC361F">
              <w:rPr>
                <w:rFonts w:ascii="Arial" w:hAnsi="Arial" w:cs="Arial"/>
                <w:lang w:val="el-GR"/>
              </w:rPr>
              <w:t xml:space="preserve">κατά την πρώτη σχολική χρονιά </w:t>
            </w:r>
            <w:r w:rsidR="000A39B0" w:rsidRPr="00BC361F">
              <w:rPr>
                <w:rFonts w:ascii="Arial" w:hAnsi="Arial" w:cs="Arial"/>
                <w:lang w:val="el-GR"/>
              </w:rPr>
              <w:t>εφαρμογής του νέου Συστήματος Αξιολόγησης του/της μαθητή/-</w:t>
            </w:r>
            <w:proofErr w:type="spellStart"/>
            <w:r w:rsidR="000A39B0" w:rsidRPr="00BC361F">
              <w:rPr>
                <w:rFonts w:ascii="Arial" w:hAnsi="Arial" w:cs="Arial"/>
                <w:lang w:val="el-GR"/>
              </w:rPr>
              <w:t>τριας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. Όποια επιλογή και αν εφαρμοστεί </w:t>
            </w:r>
            <w:r w:rsidR="000A39B0" w:rsidRPr="00BC361F">
              <w:rPr>
                <w:rFonts w:ascii="Arial" w:hAnsi="Arial" w:cs="Arial"/>
                <w:lang w:val="el-GR"/>
              </w:rPr>
              <w:t xml:space="preserve"> </w:t>
            </w:r>
            <w:r w:rsidRPr="00BC361F">
              <w:rPr>
                <w:rFonts w:ascii="Arial" w:hAnsi="Arial" w:cs="Arial"/>
                <w:lang w:val="el-GR"/>
              </w:rPr>
              <w:t xml:space="preserve">να αξιολογηθεί στο τέλος της σχολικής χρονιάς από το </w:t>
            </w:r>
            <w:r w:rsidRPr="00BC361F">
              <w:rPr>
                <w:rFonts w:ascii="Arial" w:hAnsi="Arial" w:cs="Arial"/>
                <w:lang w:val="el-GR"/>
              </w:rPr>
              <w:lastRenderedPageBreak/>
              <w:t>ΚΕΕΑ και εν συνεχεία να εφαρμοστεί ό,τι συμφωνηθεί, με βάση τα ευρήματα της αξιολόγησης</w:t>
            </w:r>
            <w:r w:rsidR="00E249B8" w:rsidRPr="00BC361F">
              <w:rPr>
                <w:rFonts w:ascii="Arial" w:hAnsi="Arial" w:cs="Arial"/>
                <w:lang w:val="el-GR"/>
              </w:rPr>
              <w:t xml:space="preserve">. </w:t>
            </w:r>
          </w:p>
          <w:p w14:paraId="09B8A50D" w14:textId="77777777" w:rsidR="00E249B8" w:rsidRPr="00BC361F" w:rsidRDefault="00E249B8" w:rsidP="00395C6E">
            <w:pPr>
              <w:pStyle w:val="ListParagraph"/>
              <w:jc w:val="both"/>
              <w:rPr>
                <w:rFonts w:ascii="Arial" w:hAnsi="Arial" w:cs="Arial"/>
                <w:lang w:val="el-GR"/>
              </w:rPr>
            </w:pPr>
          </w:p>
          <w:p w14:paraId="0BA08B37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Τα κοινά </w:t>
            </w:r>
            <w:r w:rsidR="000A39B0" w:rsidRPr="00BC361F">
              <w:rPr>
                <w:rFonts w:ascii="Arial" w:hAnsi="Arial" w:cs="Arial"/>
                <w:lang w:val="el-GR"/>
              </w:rPr>
              <w:t xml:space="preserve">90λεπτα </w:t>
            </w:r>
            <w:r w:rsidRPr="00BC361F">
              <w:rPr>
                <w:rFonts w:ascii="Arial" w:hAnsi="Arial" w:cs="Arial"/>
                <w:lang w:val="el-GR"/>
              </w:rPr>
              <w:t>διαγωνίσματα θα διενεργούνται κατά τη διάρκεια των τετραμήνων, χωρίς να υπάρχει λήξη μαθημάτων.</w:t>
            </w:r>
            <w:r w:rsidR="00377111" w:rsidRPr="00BC361F">
              <w:rPr>
                <w:rFonts w:ascii="Arial" w:hAnsi="Arial" w:cs="Arial"/>
                <w:lang w:val="el-GR"/>
              </w:rPr>
              <w:t xml:space="preserve"> Μετά το τέλος του κοινού </w:t>
            </w:r>
            <w:r w:rsidR="004540C7" w:rsidRPr="00BC361F">
              <w:rPr>
                <w:rFonts w:ascii="Arial" w:hAnsi="Arial" w:cs="Arial"/>
                <w:lang w:val="el-GR"/>
              </w:rPr>
              <w:t xml:space="preserve">90λεπτου </w:t>
            </w:r>
            <w:r w:rsidR="00377111" w:rsidRPr="00BC361F">
              <w:rPr>
                <w:rFonts w:ascii="Arial" w:hAnsi="Arial" w:cs="Arial"/>
                <w:lang w:val="el-GR"/>
              </w:rPr>
              <w:t>διαγωνίσματος ο/η μαθητής/-</w:t>
            </w:r>
            <w:proofErr w:type="spellStart"/>
            <w:r w:rsidR="00377111" w:rsidRPr="00BC361F">
              <w:rPr>
                <w:rFonts w:ascii="Arial" w:hAnsi="Arial" w:cs="Arial"/>
                <w:lang w:val="el-GR"/>
              </w:rPr>
              <w:t>τρια</w:t>
            </w:r>
            <w:proofErr w:type="spellEnd"/>
            <w:r w:rsidR="00377111" w:rsidRPr="00BC361F">
              <w:rPr>
                <w:rFonts w:ascii="Arial" w:hAnsi="Arial" w:cs="Arial"/>
                <w:lang w:val="el-GR"/>
              </w:rPr>
              <w:t xml:space="preserve"> παραμένει στο σχολείο</w:t>
            </w:r>
            <w:r w:rsidR="004540C7" w:rsidRPr="00BC361F">
              <w:rPr>
                <w:rFonts w:ascii="Arial" w:hAnsi="Arial" w:cs="Arial"/>
                <w:lang w:val="el-GR"/>
              </w:rPr>
              <w:t xml:space="preserve"> και τα μαθήματα συνεχίζονται κανονικά</w:t>
            </w:r>
            <w:r w:rsidR="00377111" w:rsidRPr="00BC361F">
              <w:rPr>
                <w:rFonts w:ascii="Arial" w:hAnsi="Arial" w:cs="Arial"/>
                <w:lang w:val="el-GR"/>
              </w:rPr>
              <w:t xml:space="preserve">. </w:t>
            </w:r>
          </w:p>
          <w:p w14:paraId="2909738C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6AA29CD7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Δεν θα διενεργούνται τελικές εξετάσεις </w:t>
            </w:r>
            <w:r w:rsidR="000A39B0" w:rsidRPr="00BC361F">
              <w:rPr>
                <w:rFonts w:ascii="Arial" w:hAnsi="Arial" w:cs="Arial"/>
                <w:lang w:val="el-GR"/>
              </w:rPr>
              <w:t>στα εξεταζόμενα γνωστικά</w:t>
            </w:r>
            <w:r w:rsidRPr="00BC361F">
              <w:rPr>
                <w:rFonts w:ascii="Arial" w:hAnsi="Arial" w:cs="Arial"/>
                <w:lang w:val="el-GR"/>
              </w:rPr>
              <w:t xml:space="preserve"> αντικείμεν</w:t>
            </w:r>
            <w:r w:rsidR="000A39B0" w:rsidRPr="00BC361F">
              <w:rPr>
                <w:rFonts w:ascii="Arial" w:hAnsi="Arial" w:cs="Arial"/>
                <w:lang w:val="el-GR"/>
              </w:rPr>
              <w:t>α,</w:t>
            </w:r>
            <w:r w:rsidRPr="00BC361F">
              <w:rPr>
                <w:rFonts w:ascii="Arial" w:hAnsi="Arial" w:cs="Arial"/>
                <w:lang w:val="el-GR"/>
              </w:rPr>
              <w:t xml:space="preserve"> στο τέλος κάθε σχολικής χρονιάς</w:t>
            </w:r>
            <w:r w:rsidR="00964A18" w:rsidRPr="00BC361F">
              <w:rPr>
                <w:rFonts w:ascii="Arial" w:hAnsi="Arial" w:cs="Arial"/>
                <w:lang w:val="el-GR"/>
              </w:rPr>
              <w:t>, αφού θα υπάρχει</w:t>
            </w:r>
            <w:r w:rsidR="004540C7" w:rsidRPr="00BC361F">
              <w:rPr>
                <w:rFonts w:ascii="Arial" w:hAnsi="Arial" w:cs="Arial"/>
                <w:lang w:val="el-GR"/>
              </w:rPr>
              <w:t>,</w:t>
            </w:r>
            <w:r w:rsidR="00964A18" w:rsidRPr="00BC361F">
              <w:rPr>
                <w:rFonts w:ascii="Arial" w:hAnsi="Arial" w:cs="Arial"/>
                <w:lang w:val="el-GR"/>
              </w:rPr>
              <w:t xml:space="preserve"> για σκοπούς προαγωγής</w:t>
            </w:r>
            <w:r w:rsidR="004540C7" w:rsidRPr="00BC361F">
              <w:rPr>
                <w:rFonts w:ascii="Arial" w:hAnsi="Arial" w:cs="Arial"/>
                <w:lang w:val="el-GR"/>
              </w:rPr>
              <w:t>,</w:t>
            </w:r>
            <w:r w:rsidR="00964A18" w:rsidRPr="00BC361F">
              <w:rPr>
                <w:rFonts w:ascii="Arial" w:hAnsi="Arial" w:cs="Arial"/>
                <w:lang w:val="el-GR"/>
              </w:rPr>
              <w:t xml:space="preserve"> βαρύτητα στις </w:t>
            </w:r>
            <w:r w:rsidR="004540C7" w:rsidRPr="00BC361F">
              <w:rPr>
                <w:rFonts w:ascii="Arial" w:hAnsi="Arial" w:cs="Arial"/>
                <w:lang w:val="el-GR"/>
              </w:rPr>
              <w:t xml:space="preserve">δύο </w:t>
            </w:r>
            <w:r w:rsidR="00964A18" w:rsidRPr="00BC361F">
              <w:rPr>
                <w:rFonts w:ascii="Arial" w:hAnsi="Arial" w:cs="Arial"/>
                <w:lang w:val="el-GR"/>
              </w:rPr>
              <w:t xml:space="preserve">γραπτές εσωτερικές αξιολογήσεις </w:t>
            </w:r>
            <w:r w:rsidR="004540C7" w:rsidRPr="00BC361F">
              <w:rPr>
                <w:rFonts w:ascii="Arial" w:hAnsi="Arial" w:cs="Arial"/>
                <w:lang w:val="el-GR"/>
              </w:rPr>
              <w:t xml:space="preserve">κάθε </w:t>
            </w:r>
            <w:proofErr w:type="spellStart"/>
            <w:r w:rsidR="004540C7" w:rsidRPr="00BC361F">
              <w:rPr>
                <w:rFonts w:ascii="Arial" w:hAnsi="Arial" w:cs="Arial"/>
                <w:lang w:val="el-GR"/>
              </w:rPr>
              <w:t>τετραμήνου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. </w:t>
            </w:r>
          </w:p>
          <w:p w14:paraId="7B67C9B4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7B20A48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Η </w:t>
            </w:r>
            <w:r w:rsidR="002808B0" w:rsidRPr="00BC361F">
              <w:rPr>
                <w:rFonts w:ascii="Arial" w:hAnsi="Arial" w:cs="Arial"/>
                <w:lang w:val="el-GR"/>
              </w:rPr>
              <w:t xml:space="preserve">περίοδος </w:t>
            </w:r>
            <w:r w:rsidRPr="00BC361F">
              <w:rPr>
                <w:rFonts w:ascii="Arial" w:hAnsi="Arial" w:cs="Arial"/>
                <w:lang w:val="el-GR"/>
              </w:rPr>
              <w:t>διεξαγωγή</w:t>
            </w:r>
            <w:r w:rsidR="002808B0" w:rsidRPr="00BC361F">
              <w:rPr>
                <w:rFonts w:ascii="Arial" w:hAnsi="Arial" w:cs="Arial"/>
                <w:lang w:val="el-GR"/>
              </w:rPr>
              <w:t>ς</w:t>
            </w:r>
            <w:r w:rsidRPr="00BC361F">
              <w:rPr>
                <w:rFonts w:ascii="Arial" w:hAnsi="Arial" w:cs="Arial"/>
                <w:lang w:val="el-GR"/>
              </w:rPr>
              <w:t xml:space="preserve"> των κοινών διαγωνισμάτων θα ξεκινά από την </w:t>
            </w:r>
            <w:r w:rsidR="002808B0" w:rsidRPr="00BC361F">
              <w:rPr>
                <w:rFonts w:ascii="Arial" w:hAnsi="Arial" w:cs="Arial"/>
                <w:lang w:val="el-GR"/>
              </w:rPr>
              <w:t>1</w:t>
            </w:r>
            <w:r w:rsidR="002808B0" w:rsidRPr="00BC361F">
              <w:rPr>
                <w:rFonts w:ascii="Arial" w:hAnsi="Arial" w:cs="Arial"/>
                <w:vertAlign w:val="superscript"/>
                <w:lang w:val="el-GR"/>
              </w:rPr>
              <w:t>η</w:t>
            </w:r>
            <w:r w:rsidR="002808B0" w:rsidRPr="00BC361F">
              <w:rPr>
                <w:rFonts w:ascii="Arial" w:hAnsi="Arial" w:cs="Arial"/>
                <w:lang w:val="el-GR"/>
              </w:rPr>
              <w:t xml:space="preserve"> Δεκεμβρίου εκάστου έτους</w:t>
            </w:r>
            <w:r w:rsidRPr="00BC361F">
              <w:rPr>
                <w:rFonts w:ascii="Arial" w:hAnsi="Arial" w:cs="Arial"/>
                <w:lang w:val="el-GR"/>
              </w:rPr>
              <w:t xml:space="preserve"> και θα εκτείνεται μέχρι και τις 22 Δεκεμβρίου (</w:t>
            </w:r>
            <w:r w:rsidR="000A39B0" w:rsidRPr="00BC361F">
              <w:rPr>
                <w:rFonts w:ascii="Arial" w:hAnsi="Arial" w:cs="Arial"/>
                <w:lang w:val="el-GR"/>
              </w:rPr>
              <w:t xml:space="preserve">Σημειώνεται ότι η </w:t>
            </w:r>
            <w:r w:rsidRPr="00BC361F">
              <w:rPr>
                <w:rFonts w:ascii="Arial" w:hAnsi="Arial" w:cs="Arial"/>
                <w:lang w:val="el-GR"/>
              </w:rPr>
              <w:t>23</w:t>
            </w:r>
            <w:r w:rsidR="000A39B0" w:rsidRPr="00BC361F">
              <w:rPr>
                <w:rFonts w:ascii="Arial" w:hAnsi="Arial" w:cs="Arial"/>
                <w:lang w:val="el-GR"/>
              </w:rPr>
              <w:t>η</w:t>
            </w:r>
            <w:r w:rsidRPr="00BC361F">
              <w:rPr>
                <w:rFonts w:ascii="Arial" w:hAnsi="Arial" w:cs="Arial"/>
                <w:lang w:val="el-GR"/>
              </w:rPr>
              <w:t xml:space="preserve"> Δεκεμβρίου είναι η τελευταία μέρα προ των εορτών των Χριστουγέννων)</w:t>
            </w:r>
            <w:r w:rsidR="000A39B0" w:rsidRPr="00BC361F">
              <w:rPr>
                <w:rFonts w:ascii="Arial" w:hAnsi="Arial" w:cs="Arial"/>
                <w:lang w:val="el-GR"/>
              </w:rPr>
              <w:t>.</w:t>
            </w:r>
          </w:p>
          <w:p w14:paraId="64414ACA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37DF1108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Τα κοινά διαγωνίσματα θα πρέπει να απέχουν μεταξύ </w:t>
            </w:r>
            <w:r w:rsidR="000A39B0" w:rsidRPr="00BC361F">
              <w:rPr>
                <w:rFonts w:ascii="Arial" w:hAnsi="Arial" w:cs="Arial"/>
                <w:lang w:val="el-GR"/>
              </w:rPr>
              <w:t>τους,</w:t>
            </w:r>
            <w:r w:rsidRPr="00BC361F">
              <w:rPr>
                <w:rFonts w:ascii="Arial" w:hAnsi="Arial" w:cs="Arial"/>
                <w:lang w:val="el-GR"/>
              </w:rPr>
              <w:t xml:space="preserve"> τουλάχιστον</w:t>
            </w:r>
            <w:r w:rsidR="000A39B0" w:rsidRPr="00BC361F">
              <w:rPr>
                <w:rFonts w:ascii="Arial" w:hAnsi="Arial" w:cs="Arial"/>
                <w:lang w:val="el-GR"/>
              </w:rPr>
              <w:t>,</w:t>
            </w:r>
            <w:r w:rsidRPr="00BC361F">
              <w:rPr>
                <w:rFonts w:ascii="Arial" w:hAnsi="Arial" w:cs="Arial"/>
                <w:lang w:val="el-GR"/>
              </w:rPr>
              <w:t xml:space="preserve"> τ</w:t>
            </w:r>
            <w:r w:rsidR="002808B0" w:rsidRPr="00BC361F">
              <w:rPr>
                <w:rFonts w:ascii="Arial" w:hAnsi="Arial" w:cs="Arial"/>
                <w:lang w:val="el-GR"/>
              </w:rPr>
              <w:t>ρεις (3</w:t>
            </w:r>
            <w:r w:rsidRPr="00BC361F">
              <w:rPr>
                <w:rFonts w:ascii="Arial" w:hAnsi="Arial" w:cs="Arial"/>
                <w:lang w:val="el-GR"/>
              </w:rPr>
              <w:t xml:space="preserve">) μέρες. </w:t>
            </w:r>
            <w:r w:rsidR="002808B0" w:rsidRPr="00BC361F">
              <w:rPr>
                <w:rFonts w:ascii="Arial" w:hAnsi="Arial" w:cs="Arial"/>
                <w:lang w:val="el-GR"/>
              </w:rPr>
              <w:t xml:space="preserve">Ως γενικότερη πολιτική νοείται ότι οι σχολικές μονάδες θα μεριμνούν ώστε </w:t>
            </w:r>
            <w:proofErr w:type="spellStart"/>
            <w:r w:rsidR="002808B0" w:rsidRPr="00BC361F">
              <w:rPr>
                <w:rFonts w:ascii="Arial" w:hAnsi="Arial" w:cs="Arial"/>
                <w:lang w:val="el-GR"/>
              </w:rPr>
              <w:t>καθόλη</w:t>
            </w:r>
            <w:proofErr w:type="spellEnd"/>
            <w:r w:rsidR="002808B0" w:rsidRPr="00BC361F">
              <w:rPr>
                <w:rFonts w:ascii="Arial" w:hAnsi="Arial" w:cs="Arial"/>
                <w:lang w:val="el-GR"/>
              </w:rPr>
              <w:t xml:space="preserve"> τη διάρκεια των τετραμήνων να μην πραγματοποιούνται την ίδια μέρα δύο διαγωνίσματα. </w:t>
            </w:r>
          </w:p>
          <w:p w14:paraId="039D3E18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4263DE8F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Σημειώνεται ότι για το μάθημα των Νέων Ελληνικών θα υπάρξουν ειδικές ρυθμίσεις λόγω κάποιων ιδιαιτεροτήτων του μαθήματος (αναφορικά με τον χρόνο της εξέτασης).</w:t>
            </w:r>
          </w:p>
          <w:p w14:paraId="0C5DE480" w14:textId="77777777" w:rsidR="002808B0" w:rsidRPr="00BC361F" w:rsidRDefault="002808B0" w:rsidP="00395C6E">
            <w:pPr>
              <w:pStyle w:val="ListParagraph"/>
              <w:jc w:val="both"/>
              <w:rPr>
                <w:rFonts w:ascii="Arial" w:hAnsi="Arial" w:cs="Arial"/>
                <w:lang w:val="el-GR"/>
              </w:rPr>
            </w:pPr>
          </w:p>
          <w:p w14:paraId="55BD1808" w14:textId="77777777" w:rsidR="00E249B8" w:rsidRPr="00BC361F" w:rsidRDefault="00E249B8" w:rsidP="00326AD8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C361F">
              <w:rPr>
                <w:rFonts w:ascii="Arial" w:hAnsi="Arial" w:cs="Arial"/>
                <w:b/>
                <w:u w:val="single"/>
                <w:lang w:val="el-GR"/>
              </w:rPr>
              <w:t>Προφορική ή/και άλλη αξιολόγηση</w:t>
            </w:r>
          </w:p>
          <w:p w14:paraId="524FD767" w14:textId="77777777" w:rsidR="00395C6E" w:rsidRPr="00BC361F" w:rsidRDefault="00395C6E" w:rsidP="00395C6E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5C0764DB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Οι Καθηγητές</w:t>
            </w:r>
            <w:r w:rsidR="00964A18" w:rsidRPr="00BC361F">
              <w:rPr>
                <w:rFonts w:ascii="Arial" w:hAnsi="Arial" w:cs="Arial"/>
                <w:lang w:val="el-GR"/>
              </w:rPr>
              <w:t>/-</w:t>
            </w:r>
            <w:proofErr w:type="spellStart"/>
            <w:r w:rsidR="00964A18" w:rsidRPr="00BC361F">
              <w:rPr>
                <w:rFonts w:ascii="Arial" w:hAnsi="Arial" w:cs="Arial"/>
                <w:lang w:val="el-GR"/>
              </w:rPr>
              <w:t>τριες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θα αξιοποιούν τρεις (3) μορφές προφορικής ή/και άλλης αξιολόγησης. </w:t>
            </w:r>
          </w:p>
          <w:p w14:paraId="22B5089E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16184DD3" w14:textId="77777777" w:rsidR="00E249B8" w:rsidRPr="00BC361F" w:rsidRDefault="000A39B0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Οι καθηγητές</w:t>
            </w:r>
            <w:r w:rsidR="00964A18" w:rsidRPr="00BC361F">
              <w:rPr>
                <w:rFonts w:ascii="Arial" w:hAnsi="Arial" w:cs="Arial"/>
                <w:lang w:val="el-GR"/>
              </w:rPr>
              <w:t>/-</w:t>
            </w:r>
            <w:proofErr w:type="spellStart"/>
            <w:r w:rsidR="00964A18" w:rsidRPr="00BC361F">
              <w:rPr>
                <w:rFonts w:ascii="Arial" w:hAnsi="Arial" w:cs="Arial"/>
                <w:lang w:val="el-GR"/>
              </w:rPr>
              <w:t>τριες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κ</w:t>
            </w:r>
            <w:r w:rsidR="00E249B8" w:rsidRPr="00BC361F">
              <w:rPr>
                <w:rFonts w:ascii="Arial" w:hAnsi="Arial" w:cs="Arial"/>
                <w:lang w:val="el-GR"/>
              </w:rPr>
              <w:t>αλούνται να επιλέξουν μία από τις επιλογές του σημείου 1.</w:t>
            </w:r>
          </w:p>
          <w:p w14:paraId="3D6E4283" w14:textId="77777777" w:rsidR="000631C5" w:rsidRPr="00BC361F" w:rsidRDefault="000631C5" w:rsidP="00395C6E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5275DCB4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Το </w:t>
            </w:r>
            <w:r w:rsidRPr="00BC361F">
              <w:rPr>
                <w:rFonts w:ascii="Arial" w:hAnsi="Arial" w:cs="Arial"/>
              </w:rPr>
              <w:t>Project</w:t>
            </w:r>
            <w:r w:rsidRPr="00BC361F">
              <w:rPr>
                <w:rFonts w:ascii="Arial" w:hAnsi="Arial" w:cs="Arial"/>
                <w:lang w:val="el-GR"/>
              </w:rPr>
              <w:t xml:space="preserve"> μπορεί να έχει διάφορες διαβαθμίσεις τόσο ως προς την έκταση όσο και ως προς τη συνέργεια διαφόρων γνωστικών αντικειμένων (διαθεματικά/διεπιστημονικά </w:t>
            </w:r>
            <w:r w:rsidRPr="00BC361F">
              <w:rPr>
                <w:rFonts w:ascii="Arial" w:hAnsi="Arial" w:cs="Arial"/>
              </w:rPr>
              <w:t>project</w:t>
            </w:r>
            <w:r w:rsidRPr="00BC361F">
              <w:rPr>
                <w:rFonts w:ascii="Arial" w:hAnsi="Arial" w:cs="Arial"/>
                <w:lang w:val="el-GR"/>
              </w:rPr>
              <w:t xml:space="preserve">). Ο αριθμός των </w:t>
            </w:r>
            <w:r w:rsidRPr="00BC361F">
              <w:rPr>
                <w:rFonts w:ascii="Arial" w:hAnsi="Arial" w:cs="Arial"/>
              </w:rPr>
              <w:t>project</w:t>
            </w:r>
            <w:r w:rsidRPr="00BC361F">
              <w:rPr>
                <w:rFonts w:ascii="Arial" w:hAnsi="Arial" w:cs="Arial"/>
                <w:lang w:val="el-GR"/>
              </w:rPr>
              <w:t xml:space="preserve"> για κάθε μαθητή/-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τρια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δε</w:t>
            </w:r>
            <w:r w:rsidR="000640BE" w:rsidRPr="00BC361F">
              <w:rPr>
                <w:rFonts w:ascii="Arial" w:hAnsi="Arial" w:cs="Arial"/>
                <w:lang w:val="el-GR"/>
              </w:rPr>
              <w:t>ν</w:t>
            </w:r>
            <w:r w:rsidRPr="00BC361F">
              <w:rPr>
                <w:rFonts w:ascii="Arial" w:hAnsi="Arial" w:cs="Arial"/>
                <w:lang w:val="el-GR"/>
              </w:rPr>
              <w:t xml:space="preserve"> θα πρέπει να υπερβαίνει τα δύο (2) στη διάρκεια ενός 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τετραμήνου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. </w:t>
            </w:r>
            <w:r w:rsidR="000640BE" w:rsidRPr="00BC361F">
              <w:rPr>
                <w:rFonts w:ascii="Arial" w:hAnsi="Arial" w:cs="Arial"/>
                <w:lang w:val="el-GR"/>
              </w:rPr>
              <w:t xml:space="preserve">Ως εκ τούτου </w:t>
            </w:r>
            <w:r w:rsidRPr="00BC361F">
              <w:rPr>
                <w:rFonts w:ascii="Arial" w:hAnsi="Arial" w:cs="Arial"/>
                <w:lang w:val="el-GR"/>
              </w:rPr>
              <w:t>θα πρέπει να γίνεται συντονισμός των Εκπαιδευτικών σε επίπεδο Παιδαγωγικής Ομάδας.</w:t>
            </w:r>
          </w:p>
          <w:p w14:paraId="0EA0D7F6" w14:textId="77777777" w:rsidR="002808B0" w:rsidRPr="00BC361F" w:rsidRDefault="002808B0" w:rsidP="00395C6E">
            <w:pPr>
              <w:pStyle w:val="ListParagraph"/>
              <w:jc w:val="both"/>
              <w:rPr>
                <w:rFonts w:ascii="Arial" w:hAnsi="Arial" w:cs="Arial"/>
                <w:lang w:val="el-GR"/>
              </w:rPr>
            </w:pPr>
          </w:p>
          <w:p w14:paraId="4B89A16D" w14:textId="1E25025A" w:rsidR="002808B0" w:rsidRDefault="002808B0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Ο καθημερινός όγκος της κατ’ 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οίκον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εργασίας θα πρέπει να </w:t>
            </w:r>
            <w:r w:rsidR="000640BE" w:rsidRPr="00BC361F">
              <w:rPr>
                <w:rFonts w:ascii="Arial" w:hAnsi="Arial" w:cs="Arial"/>
                <w:lang w:val="el-GR"/>
              </w:rPr>
              <w:t xml:space="preserve">είναι περιορισμένος και να </w:t>
            </w:r>
            <w:r w:rsidRPr="00BC361F">
              <w:rPr>
                <w:rFonts w:ascii="Arial" w:hAnsi="Arial" w:cs="Arial"/>
                <w:lang w:val="el-GR"/>
              </w:rPr>
              <w:t>ρυθμίζεται από τους/τις διδάσκοντες/-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ουσες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κατόπιν συνεννόησης.  </w:t>
            </w:r>
          </w:p>
          <w:p w14:paraId="0CD7F304" w14:textId="77777777" w:rsidR="00BC361F" w:rsidRPr="00BC361F" w:rsidRDefault="00BC361F" w:rsidP="00BC361F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</w:p>
          <w:p w14:paraId="56B772AA" w14:textId="77777777" w:rsidR="00E249B8" w:rsidRPr="00BC361F" w:rsidRDefault="00E249B8" w:rsidP="00395C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Τα κριτήρια και το ποσοστό για τις δραστηριότητες της προφορικής αξιολόγησης προσδιορίζονται κατά ειδικότητα (αναλόγως και των ιδιαιτεροτήτων κάθε γνωστικού αντικειμένου) και κοινοποιούνται από την αρχή κάθε σχολικής χρονιάς προς τους/τις μαθητές/-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τριες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>.</w:t>
            </w:r>
          </w:p>
          <w:p w14:paraId="56B6CAC8" w14:textId="77777777" w:rsidR="00395C6E" w:rsidRPr="00BC361F" w:rsidRDefault="00395C6E" w:rsidP="00395C6E">
            <w:pPr>
              <w:pStyle w:val="ListParagraph"/>
              <w:jc w:val="both"/>
              <w:rPr>
                <w:rFonts w:ascii="Arial" w:hAnsi="Arial" w:cs="Arial"/>
                <w:lang w:val="el-GR"/>
              </w:rPr>
            </w:pPr>
          </w:p>
          <w:p w14:paraId="3D8E517E" w14:textId="77777777" w:rsidR="00395C6E" w:rsidRPr="00BC361F" w:rsidRDefault="00395C6E" w:rsidP="00395C6E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01709B48" w14:textId="77777777" w:rsidR="003040F9" w:rsidRPr="00BC361F" w:rsidRDefault="003040F9" w:rsidP="00395C6E">
      <w:pPr>
        <w:jc w:val="center"/>
        <w:rPr>
          <w:rFonts w:ascii="Arial" w:hAnsi="Arial" w:cs="Arial"/>
          <w:b/>
          <w:u w:val="single"/>
          <w:lang w:val="el-GR"/>
        </w:rPr>
      </w:pPr>
    </w:p>
    <w:p w14:paraId="5801B88D" w14:textId="77777777" w:rsidR="00E249B8" w:rsidRPr="00BC361F" w:rsidRDefault="00E249B8" w:rsidP="00395C6E">
      <w:pPr>
        <w:jc w:val="center"/>
        <w:rPr>
          <w:rFonts w:ascii="Arial" w:hAnsi="Arial" w:cs="Arial"/>
          <w:b/>
          <w:u w:val="single"/>
          <w:lang w:val="el-GR"/>
        </w:rPr>
      </w:pPr>
      <w:r w:rsidRPr="00BC361F">
        <w:rPr>
          <w:rFonts w:ascii="Arial" w:hAnsi="Arial" w:cs="Arial"/>
          <w:b/>
          <w:u w:val="single"/>
          <w:lang w:val="el-GR"/>
        </w:rPr>
        <w:lastRenderedPageBreak/>
        <w:t>Μη εξεταζόμενα μαθήματα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638"/>
        <w:gridCol w:w="4019"/>
      </w:tblGrid>
      <w:tr w:rsidR="00E249B8" w:rsidRPr="00BC361F" w14:paraId="0EF74315" w14:textId="77777777" w:rsidTr="003040F9">
        <w:trPr>
          <w:jc w:val="center"/>
        </w:trPr>
        <w:tc>
          <w:tcPr>
            <w:tcW w:w="3865" w:type="dxa"/>
            <w:tcBorders>
              <w:bottom w:val="single" w:sz="4" w:space="0" w:color="auto"/>
            </w:tcBorders>
          </w:tcPr>
          <w:p w14:paraId="5511D72F" w14:textId="77777777" w:rsidR="000640BE" w:rsidRPr="00BC361F" w:rsidRDefault="00E249B8" w:rsidP="000640BE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Γραπτή αξιολόγηση</w:t>
            </w:r>
          </w:p>
          <w:p w14:paraId="287902D6" w14:textId="77777777" w:rsidR="00E249B8" w:rsidRPr="00BC361F" w:rsidRDefault="00E249B8" w:rsidP="000640BE">
            <w:pPr>
              <w:spacing w:after="0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(40%)</w:t>
            </w:r>
          </w:p>
        </w:tc>
        <w:tc>
          <w:tcPr>
            <w:tcW w:w="4657" w:type="dxa"/>
            <w:gridSpan w:val="2"/>
            <w:tcBorders>
              <w:bottom w:val="single" w:sz="4" w:space="0" w:color="auto"/>
            </w:tcBorders>
          </w:tcPr>
          <w:p w14:paraId="456EA0A3" w14:textId="77777777" w:rsidR="00E249B8" w:rsidRPr="00BC361F" w:rsidRDefault="00E249B8" w:rsidP="000640BE">
            <w:pPr>
              <w:spacing w:after="0"/>
              <w:jc w:val="center"/>
              <w:rPr>
                <w:rFonts w:ascii="Arial" w:hAnsi="Arial" w:cs="Arial"/>
                <w:b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Προφορική ή/και άλλη αξιολόγηση</w:t>
            </w:r>
          </w:p>
          <w:p w14:paraId="40155F56" w14:textId="77777777" w:rsidR="00E249B8" w:rsidRPr="00BC361F" w:rsidRDefault="00E249B8" w:rsidP="000640BE">
            <w:pPr>
              <w:spacing w:after="0"/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BC361F">
              <w:rPr>
                <w:rFonts w:ascii="Arial" w:hAnsi="Arial" w:cs="Arial"/>
                <w:b/>
                <w:lang w:val="el-GR"/>
              </w:rPr>
              <w:t>(60%)</w:t>
            </w:r>
          </w:p>
        </w:tc>
      </w:tr>
      <w:tr w:rsidR="00E249B8" w:rsidRPr="00BC361F" w14:paraId="0AB9B586" w14:textId="77777777" w:rsidTr="00893199">
        <w:trPr>
          <w:jc w:val="center"/>
        </w:trPr>
        <w:tc>
          <w:tcPr>
            <w:tcW w:w="3865" w:type="dxa"/>
            <w:tcBorders>
              <w:right w:val="nil"/>
            </w:tcBorders>
          </w:tcPr>
          <w:p w14:paraId="3ED53221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13F0E9FE" w14:textId="77777777" w:rsidR="00E249B8" w:rsidRPr="00BC361F" w:rsidRDefault="00E249B8" w:rsidP="00395C6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u w:val="single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Ένα (1) δια</w:t>
            </w:r>
            <w:r w:rsidR="00964A18" w:rsidRPr="00BC361F">
              <w:rPr>
                <w:rFonts w:ascii="Arial" w:hAnsi="Arial" w:cs="Arial"/>
                <w:lang w:val="el-GR"/>
              </w:rPr>
              <w:t>γώνισμα 45 λεπτών ανά τετράμηνο</w:t>
            </w:r>
          </w:p>
          <w:p w14:paraId="1C4D6C20" w14:textId="77777777" w:rsidR="00964A18" w:rsidRPr="00BC361F" w:rsidRDefault="00964A18" w:rsidP="00395C6E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6139B99A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u w:val="single"/>
                <w:lang w:val="en-US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</w:tcPr>
          <w:p w14:paraId="7E9228B3" w14:textId="77777777" w:rsidR="00E249B8" w:rsidRPr="00BC361F" w:rsidRDefault="00E249B8" w:rsidP="00395C6E">
            <w:pPr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48306079" w14:textId="77777777" w:rsidR="00E249B8" w:rsidRPr="00BC361F" w:rsidRDefault="00E249B8" w:rsidP="00395C6E">
            <w:pPr>
              <w:jc w:val="both"/>
              <w:rPr>
                <w:rFonts w:ascii="Arial" w:hAnsi="Arial" w:cs="Arial"/>
                <w:u w:val="single"/>
                <w:lang w:val="el-GR"/>
              </w:rPr>
            </w:pPr>
          </w:p>
          <w:p w14:paraId="02F1EF22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66F916B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512A73D7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64AAD1E6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084359BF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1AD6AB29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  <w:p w14:paraId="38711544" w14:textId="77777777" w:rsidR="00E249B8" w:rsidRPr="00BC361F" w:rsidRDefault="00E249B8" w:rsidP="00395C6E">
            <w:pPr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4019" w:type="dxa"/>
            <w:tcBorders>
              <w:left w:val="nil"/>
            </w:tcBorders>
          </w:tcPr>
          <w:p w14:paraId="6549B595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57C7F3D6" w14:textId="77777777" w:rsidR="00E249B8" w:rsidRPr="00BC361F" w:rsidRDefault="00E249B8" w:rsidP="003040F9">
            <w:pPr>
              <w:pStyle w:val="ListParagraph"/>
              <w:numPr>
                <w:ilvl w:val="0"/>
                <w:numId w:val="7"/>
              </w:numPr>
              <w:spacing w:after="0"/>
              <w:ind w:left="334" w:hanging="45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Μέχρι δύο </w:t>
            </w:r>
            <w:r w:rsidRPr="00BC361F">
              <w:rPr>
                <w:rFonts w:ascii="Arial" w:hAnsi="Arial" w:cs="Arial"/>
              </w:rPr>
              <w:t>quiz</w:t>
            </w:r>
            <w:r w:rsidRPr="00BC361F">
              <w:rPr>
                <w:rFonts w:ascii="Arial" w:hAnsi="Arial" w:cs="Arial"/>
                <w:lang w:val="el-GR"/>
              </w:rPr>
              <w:t xml:space="preserve"> ή παρόμοιων τύπων ασκήσεων.</w:t>
            </w:r>
          </w:p>
          <w:p w14:paraId="2CE2495C" w14:textId="77777777" w:rsidR="00E249B8" w:rsidRPr="00BC361F" w:rsidRDefault="00E249B8" w:rsidP="000640BE">
            <w:pPr>
              <w:pStyle w:val="ListParagraph"/>
              <w:ind w:left="360"/>
              <w:jc w:val="center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ή</w:t>
            </w:r>
          </w:p>
          <w:p w14:paraId="0025287D" w14:textId="77777777" w:rsidR="00395C6E" w:rsidRPr="00BC361F" w:rsidRDefault="00395C6E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Μέχρι ένα </w:t>
            </w:r>
            <w:r w:rsidRPr="00BC361F">
              <w:rPr>
                <w:rFonts w:ascii="Arial" w:hAnsi="Arial" w:cs="Arial"/>
              </w:rPr>
              <w:t>project</w:t>
            </w:r>
            <w:r w:rsidRPr="00BC361F">
              <w:rPr>
                <w:rFonts w:ascii="Arial" w:hAnsi="Arial" w:cs="Arial"/>
                <w:lang w:val="el-GR"/>
              </w:rPr>
              <w:t>, από τα δύο συνολικά που θα μπορούσαν να ανατεθούν σε ένα/μια μαθητή/-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τρια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σε ένα τετράμηνο.</w:t>
            </w:r>
          </w:p>
          <w:p w14:paraId="2C8F03A0" w14:textId="77777777" w:rsidR="00E249B8" w:rsidRPr="00BC361F" w:rsidRDefault="00E249B8" w:rsidP="000640BE">
            <w:pPr>
              <w:pStyle w:val="ListParagraph"/>
              <w:ind w:left="360"/>
              <w:jc w:val="center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ή</w:t>
            </w:r>
          </w:p>
          <w:p w14:paraId="058ADE28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Άλλη μορφή αξιολόγησης</w:t>
            </w:r>
            <w:r w:rsidR="003040F9" w:rsidRPr="00BC361F">
              <w:rPr>
                <w:rFonts w:ascii="Arial" w:hAnsi="Arial" w:cs="Arial"/>
                <w:lang w:val="el-GR"/>
              </w:rPr>
              <w:t xml:space="preserve">, πλην των δύο μικρών </w:t>
            </w:r>
            <w:proofErr w:type="spellStart"/>
            <w:r w:rsidR="003040F9" w:rsidRPr="00BC361F">
              <w:rPr>
                <w:rFonts w:ascii="Arial" w:hAnsi="Arial" w:cs="Arial"/>
                <w:lang w:val="el-GR"/>
              </w:rPr>
              <w:t>βαθμολογητέων</w:t>
            </w:r>
            <w:proofErr w:type="spellEnd"/>
            <w:r w:rsidR="003040F9" w:rsidRPr="00BC361F">
              <w:rPr>
                <w:rFonts w:ascii="Arial" w:hAnsi="Arial" w:cs="Arial"/>
                <w:lang w:val="el-GR"/>
              </w:rPr>
              <w:t xml:space="preserve"> ασκήσεων</w:t>
            </w:r>
            <w:r w:rsidR="000640BE" w:rsidRPr="00BC361F">
              <w:rPr>
                <w:rFonts w:ascii="Arial" w:hAnsi="Arial" w:cs="Arial"/>
                <w:lang w:val="el-GR"/>
              </w:rPr>
              <w:t>.</w:t>
            </w:r>
          </w:p>
          <w:p w14:paraId="3B795BE7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39C78FAD" w14:textId="77777777" w:rsidR="00E249B8" w:rsidRPr="00BC361F" w:rsidRDefault="00E249B8" w:rsidP="00395C6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>Συμμετοχή του/της μαθητή/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τριας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στις καθημερινές εργασίες του μαθήματος στην τάξη ή στο εργαστήριο ή/και σε δραστηριότητες εκτός της αίθουσας διδασκαλίας.</w:t>
            </w:r>
          </w:p>
          <w:p w14:paraId="37DFA2C2" w14:textId="77777777" w:rsidR="00E249B8" w:rsidRPr="00BC361F" w:rsidRDefault="00E249B8" w:rsidP="00395C6E">
            <w:pPr>
              <w:pStyle w:val="ListParagraph"/>
              <w:ind w:left="360"/>
              <w:jc w:val="both"/>
              <w:rPr>
                <w:rFonts w:ascii="Arial" w:hAnsi="Arial" w:cs="Arial"/>
                <w:lang w:val="el-GR"/>
              </w:rPr>
            </w:pPr>
          </w:p>
          <w:p w14:paraId="1973CE30" w14:textId="77777777" w:rsidR="00E249B8" w:rsidRPr="00BC361F" w:rsidRDefault="00E249B8" w:rsidP="00395C6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lang w:val="el-GR"/>
              </w:rPr>
            </w:pPr>
            <w:r w:rsidRPr="00BC361F">
              <w:rPr>
                <w:rFonts w:ascii="Arial" w:hAnsi="Arial" w:cs="Arial"/>
                <w:lang w:val="el-GR"/>
              </w:rPr>
              <w:t xml:space="preserve">Κατ’ </w:t>
            </w:r>
            <w:proofErr w:type="spellStart"/>
            <w:r w:rsidRPr="00BC361F">
              <w:rPr>
                <w:rFonts w:ascii="Arial" w:hAnsi="Arial" w:cs="Arial"/>
                <w:lang w:val="el-GR"/>
              </w:rPr>
              <w:t>οίκον</w:t>
            </w:r>
            <w:proofErr w:type="spellEnd"/>
            <w:r w:rsidRPr="00BC361F">
              <w:rPr>
                <w:rFonts w:ascii="Arial" w:hAnsi="Arial" w:cs="Arial"/>
                <w:lang w:val="el-GR"/>
              </w:rPr>
              <w:t xml:space="preserve"> εργασίες.</w:t>
            </w:r>
          </w:p>
        </w:tc>
      </w:tr>
    </w:tbl>
    <w:p w14:paraId="11757DFF" w14:textId="77777777" w:rsidR="00E249B8" w:rsidRPr="00BC361F" w:rsidRDefault="00E249B8" w:rsidP="00E249B8">
      <w:pPr>
        <w:ind w:left="284" w:hanging="284"/>
        <w:rPr>
          <w:rFonts w:ascii="Arial" w:hAnsi="Arial" w:cs="Arial"/>
          <w:b/>
          <w:lang w:val="el-GR"/>
        </w:rPr>
      </w:pPr>
    </w:p>
    <w:p w14:paraId="636F4879" w14:textId="77777777" w:rsidR="00E249B8" w:rsidRPr="00BC361F" w:rsidRDefault="00E249B8" w:rsidP="00E249B8">
      <w:pPr>
        <w:ind w:left="284" w:hanging="284"/>
        <w:rPr>
          <w:rFonts w:ascii="Arial" w:hAnsi="Arial" w:cs="Arial"/>
          <w:b/>
          <w:lang w:val="el-GR"/>
        </w:rPr>
      </w:pPr>
      <w:r w:rsidRPr="00BC361F">
        <w:rPr>
          <w:rFonts w:ascii="Arial" w:hAnsi="Arial" w:cs="Arial"/>
          <w:b/>
          <w:lang w:val="el-GR"/>
        </w:rPr>
        <w:t>Γ. ΠΡΟΫΠΟΘΕΣΕΙΣ ΕΦΑΡΜΟΓΗΣ ΤΗΣ ΠΡΟΤΑΣΗΣ ΓΙΑ ΤΗΝ ΑΞΙΟΛΟΓΗΣΗ ΤΟΥ/ΤΗΣ ΜΑΘΗΤΗ/-ΤΡΙΑΣ</w:t>
      </w:r>
    </w:p>
    <w:p w14:paraId="3F3C2392" w14:textId="77777777" w:rsidR="00E249B8" w:rsidRPr="00BC361F" w:rsidRDefault="00E249B8" w:rsidP="00E249B8">
      <w:pPr>
        <w:ind w:left="284" w:hanging="284"/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b/>
          <w:lang w:val="el-GR"/>
        </w:rPr>
        <w:tab/>
      </w:r>
      <w:r w:rsidRPr="00BC361F">
        <w:rPr>
          <w:rFonts w:ascii="Arial" w:hAnsi="Arial" w:cs="Arial"/>
          <w:lang w:val="el-GR"/>
        </w:rPr>
        <w:t>Αναγκαία συνθήκη για την επιτυχή εφαρμογή της συγκεκριμένη πρότασης είναι:</w:t>
      </w:r>
    </w:p>
    <w:p w14:paraId="012D7B2C" w14:textId="77777777" w:rsidR="00E249B8" w:rsidRPr="00BC361F" w:rsidRDefault="00E249B8" w:rsidP="00E249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Η προσαρμογή της διδακτέας ύλης στον πραγματικά διαθέσιμο διδακτικό χρόνο (αναθεώρηση Αναλυτικών Προγραμμάτων).</w:t>
      </w:r>
    </w:p>
    <w:p w14:paraId="48DB0660" w14:textId="77777777" w:rsidR="00E249B8" w:rsidRPr="00BC361F" w:rsidRDefault="00E249B8" w:rsidP="00E249B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Η πρόβλεψη επαρκούς χρόνου για την εφαρμογή άλλων μορφών αξιολόγησης, πέραν της γραπτής</w:t>
      </w:r>
      <w:r w:rsidR="00986899" w:rsidRPr="00BC361F">
        <w:rPr>
          <w:rFonts w:ascii="Arial" w:hAnsi="Arial" w:cs="Arial"/>
          <w:lang w:val="el-GR"/>
        </w:rPr>
        <w:t xml:space="preserve"> (π.χ. </w:t>
      </w:r>
      <w:r w:rsidR="00986899" w:rsidRPr="00BC361F">
        <w:rPr>
          <w:rFonts w:ascii="Arial" w:hAnsi="Arial" w:cs="Arial"/>
          <w:lang w:val="en-US"/>
        </w:rPr>
        <w:t>project</w:t>
      </w:r>
      <w:r w:rsidR="00986899" w:rsidRPr="00BC361F">
        <w:rPr>
          <w:rFonts w:ascii="Arial" w:hAnsi="Arial" w:cs="Arial"/>
          <w:lang w:val="el-GR"/>
        </w:rPr>
        <w:t>)</w:t>
      </w:r>
      <w:r w:rsidRPr="00BC361F">
        <w:rPr>
          <w:rFonts w:ascii="Arial" w:hAnsi="Arial" w:cs="Arial"/>
          <w:lang w:val="el-GR"/>
        </w:rPr>
        <w:t xml:space="preserve">. </w:t>
      </w:r>
    </w:p>
    <w:p w14:paraId="15905DFB" w14:textId="77777777" w:rsidR="00B65299" w:rsidRPr="00BC361F" w:rsidRDefault="00E249B8" w:rsidP="00B652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Δημιουργία τράπεζας υλικού αξιολόγησης για όλες τις μορφές αξιολόγησης.</w:t>
      </w:r>
    </w:p>
    <w:p w14:paraId="5E72219A" w14:textId="77777777" w:rsidR="00E249B8" w:rsidRPr="00BC361F" w:rsidRDefault="00E249B8" w:rsidP="00B652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Επιμόρφωση των εκπαιδευτικών σε όλα τα θέματα που άπτονται της αξιολόγησης των μαθητών/-τριών.</w:t>
      </w:r>
    </w:p>
    <w:p w14:paraId="5B7FEC5B" w14:textId="77777777" w:rsidR="00986899" w:rsidRPr="00BC361F" w:rsidRDefault="00986899" w:rsidP="00B6529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el-GR"/>
        </w:rPr>
      </w:pPr>
      <w:r w:rsidRPr="00BC361F">
        <w:rPr>
          <w:rFonts w:ascii="Arial" w:hAnsi="Arial" w:cs="Arial"/>
          <w:lang w:val="el-GR"/>
        </w:rPr>
        <w:t>Έγκαιρη στελέχωση των σχολικών μονάδων.</w:t>
      </w:r>
    </w:p>
    <w:sectPr w:rsidR="00986899" w:rsidRPr="00BC361F" w:rsidSect="00E6120D">
      <w:footerReference w:type="default" r:id="rId7"/>
      <w:pgSz w:w="11906" w:h="16838"/>
      <w:pgMar w:top="1134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DDA1" w14:textId="77777777" w:rsidR="004046A8" w:rsidRDefault="004046A8">
      <w:pPr>
        <w:spacing w:after="0" w:line="240" w:lineRule="auto"/>
      </w:pPr>
      <w:r>
        <w:separator/>
      </w:r>
    </w:p>
  </w:endnote>
  <w:endnote w:type="continuationSeparator" w:id="0">
    <w:p w14:paraId="6E3FD2F5" w14:textId="77777777" w:rsidR="004046A8" w:rsidRDefault="0040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3309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26702" w14:textId="77777777" w:rsidR="00E6120D" w:rsidRDefault="00377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2686C7" w14:textId="77777777" w:rsidR="004F2373" w:rsidRDefault="00E84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11F7" w14:textId="77777777" w:rsidR="004046A8" w:rsidRDefault="004046A8">
      <w:pPr>
        <w:spacing w:after="0" w:line="240" w:lineRule="auto"/>
      </w:pPr>
      <w:r>
        <w:separator/>
      </w:r>
    </w:p>
  </w:footnote>
  <w:footnote w:type="continuationSeparator" w:id="0">
    <w:p w14:paraId="4E6E2C4E" w14:textId="77777777" w:rsidR="004046A8" w:rsidRDefault="0040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0A50"/>
    <w:multiLevelType w:val="hybridMultilevel"/>
    <w:tmpl w:val="22F0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2295"/>
    <w:multiLevelType w:val="hybridMultilevel"/>
    <w:tmpl w:val="8A4CF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A4644"/>
    <w:multiLevelType w:val="hybridMultilevel"/>
    <w:tmpl w:val="C770B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D544B"/>
    <w:multiLevelType w:val="hybridMultilevel"/>
    <w:tmpl w:val="BCA6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D3D01"/>
    <w:multiLevelType w:val="hybridMultilevel"/>
    <w:tmpl w:val="C4F44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E744D5"/>
    <w:multiLevelType w:val="hybridMultilevel"/>
    <w:tmpl w:val="B6927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12981"/>
    <w:multiLevelType w:val="hybridMultilevel"/>
    <w:tmpl w:val="8A4CF7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B8"/>
    <w:rsid w:val="000631C5"/>
    <w:rsid w:val="000640BE"/>
    <w:rsid w:val="000A39B0"/>
    <w:rsid w:val="0017281C"/>
    <w:rsid w:val="002808B0"/>
    <w:rsid w:val="002D404F"/>
    <w:rsid w:val="003040F9"/>
    <w:rsid w:val="00326AD8"/>
    <w:rsid w:val="00377111"/>
    <w:rsid w:val="00395C6E"/>
    <w:rsid w:val="004046A8"/>
    <w:rsid w:val="004540C7"/>
    <w:rsid w:val="005F5FFC"/>
    <w:rsid w:val="00893199"/>
    <w:rsid w:val="00964A18"/>
    <w:rsid w:val="00986899"/>
    <w:rsid w:val="009E415E"/>
    <w:rsid w:val="009F46B6"/>
    <w:rsid w:val="00A618C7"/>
    <w:rsid w:val="00B649CC"/>
    <w:rsid w:val="00B65299"/>
    <w:rsid w:val="00BC361F"/>
    <w:rsid w:val="00BC3D23"/>
    <w:rsid w:val="00C56AF2"/>
    <w:rsid w:val="00D73D08"/>
    <w:rsid w:val="00E249B8"/>
    <w:rsid w:val="00E614C4"/>
    <w:rsid w:val="00E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37D1"/>
  <w15:chartTrackingRefBased/>
  <w15:docId w15:val="{A0736FC4-6FAD-437F-AF45-85B0A6D1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B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9B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9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9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9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GIANNOS</dc:creator>
  <cp:keywords/>
  <dc:description/>
  <cp:lastModifiedBy>Παγκύπρια Συνομοσπονδία Γονέων Μέσης Εκπαίδευσης</cp:lastModifiedBy>
  <cp:revision>2</cp:revision>
  <cp:lastPrinted>2019-02-22T07:48:00Z</cp:lastPrinted>
  <dcterms:created xsi:type="dcterms:W3CDTF">2019-02-22T07:49:00Z</dcterms:created>
  <dcterms:modified xsi:type="dcterms:W3CDTF">2019-02-22T07:49:00Z</dcterms:modified>
</cp:coreProperties>
</file>